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2" w:name="processo-n.º-12342026"/>
    <w:p>
      <w:pPr>
        <w:pStyle w:val="Heading2"/>
      </w:pPr>
      <w:r>
        <w:t xml:space="preserve">Processo n.º 1234/2026</w:t>
      </w:r>
    </w:p>
    <w:p>
      <w:pPr>
        <w:pStyle w:val="FirstParagraph"/>
      </w:pPr>
      <w:r>
        <w:rPr>
          <w:b/>
          <w:bCs/>
        </w:rPr>
        <w:t xml:space="preserve">Tribunal Judicial da Comarca de Lisboa</w:t>
      </w:r>
      <w:r>
        <w:t xml:space="preserve"> </w:t>
      </w:r>
      <w:r>
        <w:t xml:space="preserve">– Secção de Trabalho</w:t>
      </w:r>
    </w:p>
    <w:bookmarkStart w:id="9" w:name="requerente"/>
    <w:p>
      <w:pPr>
        <w:pStyle w:val="Heading3"/>
      </w:pPr>
      <w:r>
        <w:t xml:space="preserve">Requerente</w:t>
      </w:r>
    </w:p>
    <w:p>
      <w:pPr>
        <w:pStyle w:val="FirstParagraph"/>
      </w:pPr>
      <w:r>
        <w:rPr>
          <w:b/>
          <w:bCs/>
        </w:rPr>
        <w:t xml:space="preserve">José Manuel da Silva</w:t>
      </w:r>
      <w:r>
        <w:t xml:space="preserve">, português, solteiro, portador do Cartão de Cidadão n.º 12345678, contribuinte fiscal (NIF)</w:t>
      </w:r>
      <w:r>
        <w:t xml:space="preserve"> </w:t>
      </w:r>
      <w:r>
        <w:rPr>
          <w:b/>
          <w:bCs/>
        </w:rPr>
        <w:t xml:space="preserve">123 456 789</w:t>
      </w:r>
      <w:r>
        <w:t xml:space="preserve">, residente em Rua da Liberdade, Nº 45, 3.º Esq., 1150‑064 Lisboa.</w:t>
      </w:r>
    </w:p>
    <w:bookmarkEnd w:id="9"/>
    <w:bookmarkStart w:id="10" w:name="réu"/>
    <w:p>
      <w:pPr>
        <w:pStyle w:val="Heading3"/>
      </w:pPr>
      <w:r>
        <w:t xml:space="preserve">Réu</w:t>
      </w:r>
    </w:p>
    <w:p>
      <w:pPr>
        <w:pStyle w:val="FirstParagraph"/>
      </w:pPr>
      <w:r>
        <w:rPr>
          <w:b/>
          <w:bCs/>
        </w:rPr>
        <w:t xml:space="preserve">Empresa XYZ, Lda.</w:t>
      </w:r>
      <w:r>
        <w:t xml:space="preserve">, pessoa coletiva n.º 987 654 321, com sede na Avenida da República, Nº 200, 4.º B, 1050‑164 Lisboa, representada por seu diretor, Sr. Carlos Alberto Mendes, na qualidade de mandatário.</w:t>
      </w:r>
    </w:p>
    <w:bookmarkEnd w:id="10"/>
    <w:bookmarkStart w:id="11" w:name="juíza"/>
    <w:p>
      <w:pPr>
        <w:pStyle w:val="Heading3"/>
      </w:pPr>
      <w:r>
        <w:t xml:space="preserve">Juíza</w:t>
      </w:r>
    </w:p>
    <w:p>
      <w:pPr>
        <w:pStyle w:val="FirstParagraph"/>
      </w:pPr>
      <w:r>
        <w:rPr>
          <w:b/>
          <w:bCs/>
        </w:rPr>
        <w:t xml:space="preserve">Dr.ª Maria de Lurdes Santos</w:t>
      </w:r>
      <w:r>
        <w:t xml:space="preserve">, Juíza da Secção de Trabalho da Comarca de Lisboa.</w:t>
      </w:r>
    </w:p>
    <w:p>
      <w:r>
        <w:pict>
          <v:rect style="width:0;height:1.5pt" o:hralign="center" o:hrstd="t" o:hr="t"/>
        </w:pict>
      </w:r>
    </w:p>
    <w:bookmarkEnd w:id="11"/>
    <w:bookmarkEnd w:id="12"/>
    <w:bookmarkStart w:id="17" w:name="X326de7e41184ebd4b7f45ad7691803136c11f75"/>
    <w:p>
      <w:pPr>
        <w:pStyle w:val="Heading2"/>
      </w:pPr>
      <w:r>
        <w:t xml:space="preserve">Requerimento de Indemnização por Despedimento Ilícito</w:t>
      </w:r>
    </w:p>
    <w:p>
      <w:pPr>
        <w:pStyle w:val="FirstParagraph"/>
      </w:pPr>
      <w:r>
        <w:rPr>
          <w:b/>
          <w:bCs/>
        </w:rPr>
        <w:t xml:space="preserve">Lisboa, 22 de fevereiro de 2026</w:t>
      </w:r>
    </w:p>
    <w:p>
      <w:pPr>
        <w:pStyle w:val="BodyText"/>
      </w:pPr>
      <w:r>
        <w:t xml:space="preserve">Ex.ma Sra. Juíza,</w:t>
      </w:r>
    </w:p>
    <w:bookmarkStart w:id="13" w:name="exposição-dos-factos"/>
    <w:p>
      <w:pPr>
        <w:pStyle w:val="Heading4"/>
      </w:pPr>
      <w:r>
        <w:t xml:space="preserve">1. Exposição dos Factos</w:t>
      </w:r>
    </w:p>
    <w:p>
      <w:pPr>
        <w:pStyle w:val="FirstParagraph"/>
      </w:pPr>
      <w:r>
        <w:t xml:space="preserve">1.1. O Requerente foi admitido pela Requerida, a</w:t>
      </w:r>
      <w:r>
        <w:t xml:space="preserve"> </w:t>
      </w:r>
      <w:r>
        <w:rPr>
          <w:b/>
          <w:bCs/>
        </w:rPr>
        <w:t xml:space="preserve">Empresa XYZ, Lda.</w:t>
      </w:r>
      <w:r>
        <w:t xml:space="preserve">, em</w:t>
      </w:r>
      <w:r>
        <w:t xml:space="preserve"> </w:t>
      </w:r>
      <w:r>
        <w:rPr>
          <w:b/>
          <w:bCs/>
        </w:rPr>
        <w:t xml:space="preserve">15 de março de 2014</w:t>
      </w:r>
      <w:r>
        <w:t xml:space="preserve">, para exercer a função de</w:t>
      </w:r>
      <w:r>
        <w:t xml:space="preserve"> </w:t>
      </w:r>
      <w:r>
        <w:rPr>
          <w:b/>
          <w:bCs/>
        </w:rPr>
        <w:t xml:space="preserve">Técnico de Sistemas de Informação</w:t>
      </w:r>
      <w:r>
        <w:t xml:space="preserve">, com contrato de trabalho a termo indeterminado, tendo acumulado, em</w:t>
      </w:r>
      <w:r>
        <w:t xml:space="preserve"> </w:t>
      </w:r>
      <w:r>
        <w:rPr>
          <w:b/>
          <w:bCs/>
        </w:rPr>
        <w:t xml:space="preserve">2025</w:t>
      </w:r>
      <w:r>
        <w:t xml:space="preserve">,</w:t>
      </w:r>
      <w:r>
        <w:t xml:space="preserve"> </w:t>
      </w:r>
      <w:r>
        <w:rPr>
          <w:b/>
          <w:bCs/>
        </w:rPr>
        <w:t xml:space="preserve">12 (doze) anos</w:t>
      </w:r>
      <w:r>
        <w:t xml:space="preserve"> </w:t>
      </w:r>
      <w:r>
        <w:t xml:space="preserve">de antiguidade.</w:t>
      </w:r>
    </w:p>
    <w:p>
      <w:pPr>
        <w:pStyle w:val="BodyText"/>
      </w:pPr>
      <w:r>
        <w:t xml:space="preserve">1.2. No dia</w:t>
      </w:r>
      <w:r>
        <w:t xml:space="preserve"> </w:t>
      </w:r>
      <w:r>
        <w:rPr>
          <w:b/>
          <w:bCs/>
        </w:rPr>
        <w:t xml:space="preserve">10 de janeiro de 2026</w:t>
      </w:r>
      <w:r>
        <w:t xml:space="preserve">, o Requerente recebeu comunicação escrita da Requerida, datada de</w:t>
      </w:r>
      <w:r>
        <w:t xml:space="preserve"> </w:t>
      </w:r>
      <w:r>
        <w:rPr>
          <w:b/>
          <w:bCs/>
        </w:rPr>
        <w:t xml:space="preserve">8 de janeiro de 2026</w:t>
      </w:r>
      <w:r>
        <w:t xml:space="preserve">, a notificar o seu despedimento por</w:t>
      </w:r>
      <w:r>
        <w:t xml:space="preserve"> </w:t>
      </w:r>
      <w:r>
        <w:rPr>
          <w:b/>
          <w:bCs/>
        </w:rPr>
        <w:t xml:space="preserve">justa causa</w:t>
      </w:r>
      <w:r>
        <w:t xml:space="preserve">, alegando</w:t>
      </w:r>
      <w:r>
        <w:t xml:space="preserve"> </w:t>
      </w:r>
      <w:r>
        <w:rPr>
          <w:b/>
          <w:bCs/>
        </w:rPr>
        <w:t xml:space="preserve">uso indevido do email corporativo</w:t>
      </w:r>
      <w:r>
        <w:t xml:space="preserve"> </w:t>
      </w:r>
      <w:r>
        <w:t xml:space="preserve">e violação do dever de lealdade.</w:t>
      </w:r>
    </w:p>
    <w:p>
      <w:pPr>
        <w:pStyle w:val="BodyText"/>
      </w:pPr>
      <w:r>
        <w:t xml:space="preserve">1.3. O Requerente impugna a referida decisão, sustentando que:</w:t>
      </w:r>
    </w:p>
    <w:p>
      <w:pPr>
        <w:pStyle w:val="Compact"/>
        <w:numPr>
          <w:ilvl w:val="0"/>
          <w:numId w:val="1001"/>
        </w:numPr>
      </w:pPr>
    </w:p>
    <w:p>
      <w:pPr>
        <w:pStyle w:val="Compact"/>
        <w:numPr>
          <w:ilvl w:val="1"/>
          <w:numId w:val="1002"/>
        </w:numPr>
      </w:pPr>
      <w:r>
        <w:t xml:space="preserve">O conteúdo do email em causa continha</w:t>
      </w:r>
      <w:r>
        <w:t xml:space="preserve"> </w:t>
      </w:r>
      <w:r>
        <w:rPr>
          <w:b/>
          <w:bCs/>
        </w:rPr>
        <w:t xml:space="preserve">exclusivamente comunicações pessoais</w:t>
      </w:r>
      <w:r>
        <w:t xml:space="preserve"> </w:t>
      </w:r>
      <w:r>
        <w:t xml:space="preserve">de natureza trivial, sem qualquer prejuízo para a empresa;</w:t>
      </w:r>
      <w:r>
        <w:br/>
      </w:r>
    </w:p>
    <w:p>
      <w:pPr>
        <w:pStyle w:val="Compact"/>
        <w:numPr>
          <w:ilvl w:val="0"/>
          <w:numId w:val="1001"/>
        </w:numPr>
      </w:pPr>
    </w:p>
    <w:p>
      <w:pPr>
        <w:pStyle w:val="Compact"/>
        <w:numPr>
          <w:ilvl w:val="1"/>
          <w:numId w:val="1003"/>
        </w:numPr>
      </w:pPr>
      <w:r>
        <w:t xml:space="preserve">Não existiu</w:t>
      </w:r>
      <w:r>
        <w:t xml:space="preserve"> </w:t>
      </w:r>
      <w:r>
        <w:rPr>
          <w:b/>
          <w:bCs/>
        </w:rPr>
        <w:t xml:space="preserve">violação grave</w:t>
      </w:r>
      <w:r>
        <w:t xml:space="preserve"> </w:t>
      </w:r>
      <w:r>
        <w:t xml:space="preserve">dos deveres contratuais que justificasse a resolução imediata do contrato;</w:t>
      </w:r>
      <w:r>
        <w:br/>
      </w:r>
    </w:p>
    <w:p>
      <w:pPr>
        <w:pStyle w:val="Compact"/>
        <w:numPr>
          <w:ilvl w:val="0"/>
          <w:numId w:val="1001"/>
        </w:numPr>
      </w:pPr>
    </w:p>
    <w:p>
      <w:pPr>
        <w:pStyle w:val="Compact"/>
        <w:numPr>
          <w:ilvl w:val="1"/>
          <w:numId w:val="1004"/>
        </w:numPr>
      </w:pPr>
      <w:r>
        <w:t xml:space="preserve">A Requerida não cumpriu o</w:t>
      </w:r>
      <w:r>
        <w:t xml:space="preserve"> </w:t>
      </w:r>
      <w:r>
        <w:rPr>
          <w:b/>
          <w:bCs/>
        </w:rPr>
        <w:t xml:space="preserve">procedimento legal de comunicação prévia</w:t>
      </w:r>
      <w:r>
        <w:t xml:space="preserve">, nomeadamente a falta de aviso prévio escrito e a inexistência de oportunidade de defesa efetiva, em violação dos artigos 351.º e seguintes do</w:t>
      </w:r>
      <w:r>
        <w:t xml:space="preserve"> </w:t>
      </w:r>
      <w:r>
        <w:rPr>
          <w:b/>
          <w:bCs/>
        </w:rPr>
        <w:t xml:space="preserve">Código do Trabalho</w:t>
      </w:r>
      <w:r>
        <w:t xml:space="preserve">.</w:t>
      </w:r>
    </w:p>
    <w:p>
      <w:pPr>
        <w:pStyle w:val="FirstParagraph"/>
      </w:pPr>
      <w:r>
        <w:t xml:space="preserve">1.4. Em consequência do despedimento, o Requerente ficou privado dos</w:t>
      </w:r>
      <w:r>
        <w:t xml:space="preserve"> </w:t>
      </w:r>
      <w:r>
        <w:rPr>
          <w:b/>
          <w:bCs/>
        </w:rPr>
        <w:t xml:space="preserve">remunerações vencidas</w:t>
      </w:r>
      <w:r>
        <w:t xml:space="preserve">, das</w:t>
      </w:r>
      <w:r>
        <w:t xml:space="preserve"> </w:t>
      </w:r>
      <w:r>
        <w:rPr>
          <w:b/>
          <w:bCs/>
        </w:rPr>
        <w:t xml:space="preserve">indemnizações legais</w:t>
      </w:r>
      <w:r>
        <w:t xml:space="preserve"> </w:t>
      </w:r>
      <w:r>
        <w:t xml:space="preserve">e dos</w:t>
      </w:r>
      <w:r>
        <w:t xml:space="preserve"> </w:t>
      </w:r>
      <w:r>
        <w:rPr>
          <w:b/>
          <w:bCs/>
        </w:rPr>
        <w:t xml:space="preserve">benefícios contratuais</w:t>
      </w:r>
      <w:r>
        <w:t xml:space="preserve"> </w:t>
      </w:r>
      <w:r>
        <w:t xml:space="preserve">a que teria direito, configurando-se, assim,</w:t>
      </w:r>
      <w:r>
        <w:t xml:space="preserve"> </w:t>
      </w:r>
      <w:r>
        <w:rPr>
          <w:b/>
          <w:bCs/>
        </w:rPr>
        <w:t xml:space="preserve">despedimento ilícito</w:t>
      </w:r>
      <w:r>
        <w:t xml:space="preserve"> </w:t>
      </w:r>
      <w:r>
        <w:t xml:space="preserve">nos termos do artigo 366.º do Código do Trabalho.</w:t>
      </w:r>
    </w:p>
    <w:bookmarkEnd w:id="13"/>
    <w:bookmarkStart w:id="14" w:name="fundamentação-jurídica"/>
    <w:p>
      <w:pPr>
        <w:pStyle w:val="Heading4"/>
      </w:pPr>
      <w:r>
        <w:t xml:space="preserve">2. Fundamentação Jurídica</w:t>
      </w:r>
    </w:p>
    <w:p>
      <w:pPr>
        <w:pStyle w:val="FirstParagraph"/>
      </w:pPr>
      <w:r>
        <w:t xml:space="preserve">2.1. Nos termos do</w:t>
      </w:r>
      <w:r>
        <w:t xml:space="preserve"> </w:t>
      </w:r>
      <w:r>
        <w:rPr>
          <w:b/>
          <w:bCs/>
        </w:rPr>
        <w:t xml:space="preserve">artigo 351.º, n.º 1, alínea b) do Código do Trabalho</w:t>
      </w:r>
      <w:r>
        <w:t xml:space="preserve">, a justa causa deve corresponder a uma falta grave, devidamente comprovada, que torne impossível a continuidade da relação laboral. A jurisprudência do Tribunal Supremo tem reiterado que a mera utilização de meios de comunicação internos para fins pessoais, sem demonstração de dano concreto à empresa,</w:t>
      </w:r>
      <w:r>
        <w:t xml:space="preserve"> </w:t>
      </w:r>
      <w:r>
        <w:rPr>
          <w:b/>
          <w:bCs/>
        </w:rPr>
        <w:t xml:space="preserve">não constitui falta grave</w:t>
      </w:r>
      <w:r>
        <w:t xml:space="preserve"> </w:t>
      </w:r>
      <w:r>
        <w:t xml:space="preserve">(Acórdão 12/21.2T8LSB, de 12 de março de 2022).</w:t>
      </w:r>
    </w:p>
    <w:p>
      <w:pPr>
        <w:pStyle w:val="BodyText"/>
      </w:pPr>
      <w:r>
        <w:t xml:space="preserve">2.2. O</w:t>
      </w:r>
      <w:r>
        <w:t xml:space="preserve"> </w:t>
      </w:r>
      <w:r>
        <w:rPr>
          <w:b/>
          <w:bCs/>
        </w:rPr>
        <w:t xml:space="preserve">artigo 366.º do Código do Trabalho</w:t>
      </w:r>
      <w:r>
        <w:t xml:space="preserve"> </w:t>
      </w:r>
      <w:r>
        <w:t xml:space="preserve">estabelece que o despedimento sem justa causa ou por justa causa não comprovada gera o dever da entidade empregadora de</w:t>
      </w:r>
      <w:r>
        <w:t xml:space="preserve"> </w:t>
      </w:r>
      <w:r>
        <w:rPr>
          <w:b/>
          <w:bCs/>
        </w:rPr>
        <w:t xml:space="preserve">indemnizar o trabalhador</w:t>
      </w:r>
      <w:r>
        <w:t xml:space="preserve"> </w:t>
      </w:r>
      <w:r>
        <w:t xml:space="preserve">pelos danos patrimoniais e morais sofridos, bem como de pagar as verbas devidas até à data da cessação do contrato.</w:t>
      </w:r>
    </w:p>
    <w:p>
      <w:pPr>
        <w:pStyle w:val="BodyText"/>
      </w:pPr>
      <w:r>
        <w:t xml:space="preserve">2.3. A</w:t>
      </w:r>
      <w:r>
        <w:t xml:space="preserve"> </w:t>
      </w:r>
      <w:r>
        <w:rPr>
          <w:b/>
          <w:bCs/>
        </w:rPr>
        <w:t xml:space="preserve">ausência de comunicação prévia</w:t>
      </w:r>
      <w:r>
        <w:t xml:space="preserve"> </w:t>
      </w:r>
      <w:r>
        <w:t xml:space="preserve">e de oportunidade de defesa viola o princípio do contraditório e do direito ao devido processo legal, consagrados no artigo 20.º da Constituição da República Portuguesa e no artigo 351.º do Código do Trabalho, tornando o despedimento</w:t>
      </w:r>
      <w:r>
        <w:t xml:space="preserve"> </w:t>
      </w:r>
      <w:r>
        <w:rPr>
          <w:b/>
          <w:bCs/>
        </w:rPr>
        <w:t xml:space="preserve">nulo</w:t>
      </w:r>
      <w:r>
        <w:t xml:space="preserve"> </w:t>
      </w:r>
      <w:r>
        <w:t xml:space="preserve">e, por conseguinte,</w:t>
      </w:r>
      <w:r>
        <w:t xml:space="preserve"> </w:t>
      </w:r>
      <w:r>
        <w:rPr>
          <w:b/>
          <w:bCs/>
        </w:rPr>
        <w:t xml:space="preserve">ilícito</w:t>
      </w:r>
      <w:r>
        <w:t xml:space="preserve">.</w:t>
      </w:r>
    </w:p>
    <w:bookmarkEnd w:id="14"/>
    <w:bookmarkStart w:id="15" w:name="pedidos"/>
    <w:p>
      <w:pPr>
        <w:pStyle w:val="Heading4"/>
      </w:pPr>
      <w:r>
        <w:t xml:space="preserve">3. Pedidos</w:t>
      </w:r>
    </w:p>
    <w:p>
      <w:pPr>
        <w:pStyle w:val="FirstParagraph"/>
      </w:pPr>
      <w:r>
        <w:t xml:space="preserve">Em face do exposto, requer o Requerente a V. Exa. que se digne 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31"/>
        <w:gridCol w:w="3090"/>
        <w:gridCol w:w="2897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Item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Salários vencidos (de 10 a 31 de janeiro de 2026)</w:t>
            </w:r>
          </w:p>
        </w:tc>
        <w:tc>
          <w:tcPr/>
          <w:p>
            <w:pPr>
              <w:pStyle w:val="Compact"/>
            </w:pPr>
            <w:r>
              <w:t xml:space="preserve">1 800,00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Subsídio de férias proporcional (12/12)</w:t>
            </w:r>
          </w:p>
        </w:tc>
        <w:tc>
          <w:tcPr/>
          <w:p>
            <w:pPr>
              <w:pStyle w:val="Compact"/>
            </w:pPr>
            <w:r>
              <w:t xml:space="preserve">2 400,00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Subsídio de Natal proporcional (12/12)</w:t>
            </w:r>
          </w:p>
        </w:tc>
        <w:tc>
          <w:tcPr/>
          <w:p>
            <w:pPr>
              <w:pStyle w:val="Compact"/>
            </w:pPr>
            <w:r>
              <w:t xml:space="preserve">2 400,00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Indemnização por despedimento ilícito (12 anos × 20 dias de salário base de €1 500,00)</w:t>
            </w:r>
          </w:p>
        </w:tc>
        <w:tc>
          <w:tcPr/>
          <w:p>
            <w:pPr>
              <w:pStyle w:val="Compact"/>
            </w:pPr>
            <w:r>
              <w:t xml:space="preserve">36 000,00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Indemnização por danos morais (valor estimado)</w:t>
            </w:r>
          </w:p>
        </w:tc>
        <w:tc>
          <w:tcPr/>
          <w:p>
            <w:pPr>
              <w:pStyle w:val="Compact"/>
            </w:pPr>
            <w:r>
              <w:t xml:space="preserve">5 000,00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Valor total a liquidar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47 600,00</w:t>
            </w:r>
          </w:p>
        </w:tc>
      </w:tr>
    </w:tbl>
    <w:p>
      <w:pPr>
        <w:pStyle w:val="BodyText"/>
      </w:pPr>
      <w:r>
        <w:t xml:space="preserve">3.1.</w:t>
      </w:r>
      <w:r>
        <w:t xml:space="preserve"> </w:t>
      </w:r>
      <w:r>
        <w:rPr>
          <w:b/>
          <w:bCs/>
        </w:rPr>
        <w:t xml:space="preserve">Indemnização por despedimento ilícito</w:t>
      </w:r>
      <w:r>
        <w:t xml:space="preserve">, nos termos do artigo 366.º do Código do Trabalho, no montante de</w:t>
      </w:r>
      <w:r>
        <w:t xml:space="preserve"> </w:t>
      </w:r>
      <w:r>
        <w:rPr>
          <w:b/>
          <w:bCs/>
        </w:rPr>
        <w:t xml:space="preserve">€ 36 000,00</w:t>
      </w:r>
      <w:r>
        <w:t xml:space="preserve"> </w:t>
      </w:r>
      <w:r>
        <w:t xml:space="preserve">(trinta e seis mil euros), correspondente a 20 dias de salário base por cada ano de serviço, conforme cálculo reconhecido pela jurisprudência.</w:t>
      </w:r>
    </w:p>
    <w:p>
      <w:pPr>
        <w:pStyle w:val="BodyText"/>
      </w:pPr>
      <w:r>
        <w:t xml:space="preserve">3.2.</w:t>
      </w:r>
      <w:r>
        <w:t xml:space="preserve"> </w:t>
      </w:r>
      <w:r>
        <w:rPr>
          <w:b/>
          <w:bCs/>
        </w:rPr>
        <w:t xml:space="preserve">Pagamentos de salários e subsídios</w:t>
      </w:r>
      <w:r>
        <w:t xml:space="preserve"> </w:t>
      </w:r>
      <w:r>
        <w:t xml:space="preserve">devidos até à data da cessação do contrato, totalizando</w:t>
      </w:r>
      <w:r>
        <w:t xml:space="preserve"> </w:t>
      </w:r>
      <w:r>
        <w:rPr>
          <w:b/>
          <w:bCs/>
        </w:rPr>
        <w:t xml:space="preserve">€ 6 600,00</w:t>
      </w:r>
      <w:r>
        <w:t xml:space="preserve">.</w:t>
      </w:r>
    </w:p>
    <w:p>
      <w:pPr>
        <w:pStyle w:val="BodyText"/>
      </w:pPr>
      <w:r>
        <w:t xml:space="preserve">3.3.</w:t>
      </w:r>
      <w:r>
        <w:t xml:space="preserve"> </w:t>
      </w:r>
      <w:r>
        <w:rPr>
          <w:b/>
          <w:bCs/>
        </w:rPr>
        <w:t xml:space="preserve">Indemnização por danos morais</w:t>
      </w:r>
      <w:r>
        <w:t xml:space="preserve">, em valor equitativo de</w:t>
      </w:r>
      <w:r>
        <w:t xml:space="preserve"> </w:t>
      </w:r>
      <w:r>
        <w:rPr>
          <w:b/>
          <w:bCs/>
        </w:rPr>
        <w:t xml:space="preserve">€ 5 000,00</w:t>
      </w:r>
      <w:r>
        <w:t xml:space="preserve">, tendo em conta o abalo psicológico e a reputação profissional lesionada.</w:t>
      </w:r>
    </w:p>
    <w:p>
      <w:pPr>
        <w:pStyle w:val="BodyText"/>
      </w:pPr>
      <w:r>
        <w:t xml:space="preserve">3.4. A condenação da Requerida ao pagamento das</w:t>
      </w:r>
      <w:r>
        <w:t xml:space="preserve"> </w:t>
      </w:r>
      <w:r>
        <w:rPr>
          <w:b/>
          <w:bCs/>
        </w:rPr>
        <w:t xml:space="preserve">custas processuais</w:t>
      </w:r>
      <w:r>
        <w:t xml:space="preserve"> </w:t>
      </w:r>
      <w:r>
        <w:t xml:space="preserve">e dos</w:t>
      </w:r>
      <w:r>
        <w:t xml:space="preserve"> </w:t>
      </w:r>
      <w:r>
        <w:rPr>
          <w:b/>
          <w:bCs/>
        </w:rPr>
        <w:t xml:space="preserve">honorários de advogado</w:t>
      </w:r>
      <w:r>
        <w:t xml:space="preserve">, nos termos do artigo 21.º do Código de Processo Civil, a serem arbitrados por este Tribunal.</w:t>
      </w:r>
    </w:p>
    <w:p>
      <w:pPr>
        <w:pStyle w:val="BodyText"/>
      </w:pPr>
      <w:r>
        <w:t xml:space="preserve">3.5. A produção de todos os meios de prova admitidos em direito, nomeadamente:</w:t>
      </w:r>
    </w:p>
    <w:p>
      <w:pPr>
        <w:pStyle w:val="Compact"/>
        <w:numPr>
          <w:ilvl w:val="0"/>
          <w:numId w:val="1005"/>
        </w:numPr>
      </w:pPr>
    </w:p>
    <w:p>
      <w:pPr>
        <w:pStyle w:val="Compact"/>
        <w:numPr>
          <w:ilvl w:val="1"/>
          <w:numId w:val="1006"/>
        </w:numPr>
      </w:pPr>
      <w:r>
        <w:t xml:space="preserve">Cópia do contrato de trabalho e aditamentos;</w:t>
      </w:r>
      <w:r>
        <w:br/>
      </w:r>
    </w:p>
    <w:p>
      <w:pPr>
        <w:pStyle w:val="Compact"/>
        <w:numPr>
          <w:ilvl w:val="0"/>
          <w:numId w:val="1005"/>
        </w:numPr>
      </w:pPr>
    </w:p>
    <w:p>
      <w:pPr>
        <w:pStyle w:val="Compact"/>
        <w:numPr>
          <w:ilvl w:val="1"/>
          <w:numId w:val="1007"/>
        </w:numPr>
      </w:pPr>
      <w:r>
        <w:t xml:space="preserve">Emails enviados e recebidos entre o Requerente e a conta corporativa (anexo A);</w:t>
      </w:r>
      <w:r>
        <w:br/>
      </w:r>
    </w:p>
    <w:p>
      <w:pPr>
        <w:pStyle w:val="Compact"/>
        <w:numPr>
          <w:ilvl w:val="0"/>
          <w:numId w:val="1005"/>
        </w:numPr>
      </w:pPr>
    </w:p>
    <w:p>
      <w:pPr>
        <w:pStyle w:val="Compact"/>
        <w:numPr>
          <w:ilvl w:val="1"/>
          <w:numId w:val="1008"/>
        </w:numPr>
      </w:pPr>
      <w:r>
        <w:t xml:space="preserve">Comunicação escrita de despedimento (anexo B);</w:t>
      </w:r>
      <w:r>
        <w:br/>
      </w:r>
    </w:p>
    <w:p>
      <w:pPr>
        <w:pStyle w:val="Compact"/>
        <w:numPr>
          <w:ilvl w:val="0"/>
          <w:numId w:val="1005"/>
        </w:numPr>
      </w:pPr>
    </w:p>
    <w:p>
      <w:pPr>
        <w:pStyle w:val="Compact"/>
        <w:numPr>
          <w:ilvl w:val="1"/>
          <w:numId w:val="1009"/>
        </w:numPr>
      </w:pPr>
      <w:r>
        <w:t xml:space="preserve">Declarações testemunhais de colegas de trabalho (anexo C).</w:t>
      </w:r>
    </w:p>
    <w:bookmarkEnd w:id="15"/>
    <w:bookmarkStart w:id="16" w:name="conclusão"/>
    <w:p>
      <w:pPr>
        <w:pStyle w:val="Heading4"/>
      </w:pPr>
      <w:r>
        <w:t xml:space="preserve">4. Conclusão</w:t>
      </w:r>
    </w:p>
    <w:p>
      <w:pPr>
        <w:pStyle w:val="FirstParagraph"/>
      </w:pPr>
      <w:r>
        <w:t xml:space="preserve">Por ser medida de justiça, e nos termos do disposto nos artigos 351.º, 366.º e seguintes do</w:t>
      </w:r>
      <w:r>
        <w:t xml:space="preserve"> </w:t>
      </w:r>
      <w:r>
        <w:rPr>
          <w:b/>
          <w:bCs/>
        </w:rPr>
        <w:t xml:space="preserve">Código do Trabalho</w:t>
      </w:r>
      <w:r>
        <w:t xml:space="preserve">, bem como nos artigos 20.º e 21.º do</w:t>
      </w:r>
      <w:r>
        <w:t xml:space="preserve"> </w:t>
      </w:r>
      <w:r>
        <w:rPr>
          <w:b/>
          <w:bCs/>
        </w:rPr>
        <w:t xml:space="preserve">Código de Processo Civil</w:t>
      </w:r>
      <w:r>
        <w:t xml:space="preserve">, requer o Requerente a V. Exa. que se digne a:</w:t>
      </w:r>
    </w:p>
    <w:p>
      <w:pPr>
        <w:pStyle w:val="Compact"/>
        <w:numPr>
          <w:ilvl w:val="0"/>
          <w:numId w:val="1010"/>
        </w:numPr>
      </w:pPr>
      <w:r>
        <w:t xml:space="preserve">Declarar o despedimento</w:t>
      </w:r>
      <w:r>
        <w:t xml:space="preserve"> </w:t>
      </w:r>
      <w:r>
        <w:rPr>
          <w:b/>
          <w:bCs/>
        </w:rPr>
        <w:t xml:space="preserve">nulo e ilícito</w:t>
      </w:r>
      <w:r>
        <w:t xml:space="preserve">;</w:t>
      </w:r>
      <w:r>
        <w:br/>
      </w:r>
    </w:p>
    <w:p>
      <w:pPr>
        <w:pStyle w:val="Compact"/>
        <w:numPr>
          <w:ilvl w:val="0"/>
          <w:numId w:val="1010"/>
        </w:numPr>
      </w:pPr>
      <w:r>
        <w:t xml:space="preserve">Condenar a Requerida ao pagamento da indemnização total de</w:t>
      </w:r>
      <w:r>
        <w:t xml:space="preserve"> </w:t>
      </w:r>
      <w:r>
        <w:rPr>
          <w:b/>
          <w:bCs/>
        </w:rPr>
        <w:t xml:space="preserve">€ 47 600,00</w:t>
      </w:r>
      <w:r>
        <w:t xml:space="preserve">, acrescida de juros legais a contar da data de vencimento de cada obrigação;</w:t>
      </w:r>
      <w:r>
        <w:br/>
      </w:r>
    </w:p>
    <w:p>
      <w:pPr>
        <w:pStyle w:val="Compact"/>
        <w:numPr>
          <w:ilvl w:val="0"/>
          <w:numId w:val="1010"/>
        </w:numPr>
      </w:pPr>
      <w:r>
        <w:t xml:space="preserve">Condenar a Requerida ao pagamento das custas processuais e honorários de advogado.</w:t>
      </w:r>
    </w:p>
    <w:p>
      <w:pPr>
        <w:pStyle w:val="FirstParagraph"/>
      </w:pPr>
      <w:r>
        <w:t xml:space="preserve">Nestes termos, 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José Manuel da Silva</w:t>
      </w:r>
      <w:r>
        <w:br/>
      </w:r>
      <w:r>
        <w:t xml:space="preserve">NIF 123 456 789</w:t>
      </w:r>
    </w:p>
    <w:p>
      <w:pPr>
        <w:pStyle w:val="BodyText"/>
      </w:pPr>
      <w:r>
        <w:rPr>
          <w:b/>
          <w:bCs/>
        </w:rPr>
        <w:t xml:space="preserve">Advogado:</w:t>
      </w:r>
      <w:r>
        <w:t xml:space="preserve"> </w:t>
      </w:r>
      <w:r>
        <w:t xml:space="preserve">Dr. António Ribeiro, OAB 12345, escritório em Rua da Prata, Nº 12, 2.º Esq., 1200‑345 Lisboa.</w:t>
      </w:r>
    </w:p>
    <w:p>
      <w:pPr>
        <w:pStyle w:val="BodyText"/>
      </w:pPr>
      <w:r>
        <w:rPr>
          <w:b/>
          <w:bCs/>
        </w:rPr>
        <w:t xml:space="preserve">Advogada:</w:t>
      </w:r>
      <w:r>
        <w:t xml:space="preserve"> </w:t>
      </w:r>
      <w:r>
        <w:t xml:space="preserve">Dra. Sofia Carvalho, OAB 67890, escritório em Avenida da Liberdade, Nº 88, 3.º Esq., 1250‑147 Lisboa.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Documentos anexos:</w:t>
      </w:r>
    </w:p>
    <w:p>
      <w:pPr>
        <w:pStyle w:val="Compact"/>
        <w:numPr>
          <w:ilvl w:val="0"/>
          <w:numId w:val="1011"/>
        </w:numPr>
      </w:pPr>
      <w:r>
        <w:t xml:space="preserve">Anexo A – Extracto dos emails corporativos (página 1 a 12);</w:t>
      </w:r>
      <w:r>
        <w:br/>
      </w:r>
    </w:p>
    <w:p>
      <w:pPr>
        <w:pStyle w:val="Compact"/>
        <w:numPr>
          <w:ilvl w:val="0"/>
          <w:numId w:val="1011"/>
        </w:numPr>
      </w:pPr>
      <w:r>
        <w:t xml:space="preserve">Anexo B – Carta de despedimento datada de 8 de janeiro de 2026;</w:t>
      </w:r>
      <w:r>
        <w:br/>
      </w:r>
    </w:p>
    <w:p>
      <w:pPr>
        <w:pStyle w:val="Compact"/>
        <w:numPr>
          <w:ilvl w:val="0"/>
          <w:numId w:val="1011"/>
        </w:numPr>
      </w:pPr>
      <w:r>
        <w:t xml:space="preserve">Anexo C – Declarações testemunhais de dois colegas de trabalho.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722">
    <w:nsid w:val="00A99722"/>
    <w:multiLevelType w:val="multilevel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2"/>
      <w:numFmt w:val="lowerLetter"/>
      <w:lvlText w:val="%3)"/>
      <w:lvlJc w:val="left"/>
      <w:pPr>
        <w:ind w:left="2160" w:hanging="360"/>
      </w:pPr>
    </w:lvl>
    <w:lvl w:ilvl="3">
      <w:start w:val="2"/>
      <w:numFmt w:val="lowerLetter"/>
      <w:lvlText w:val="%4)"/>
      <w:lvlJc w:val="left"/>
      <w:pPr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</w:lvl>
    <w:lvl w:ilvl="5">
      <w:start w:val="2"/>
      <w:numFmt w:val="lowerLetter"/>
      <w:lvlText w:val="%6)"/>
      <w:lvlJc w:val="left"/>
      <w:pPr>
        <w:ind w:left="4320" w:hanging="360"/>
      </w:pPr>
    </w:lvl>
    <w:lvl w:ilvl="6">
      <w:start w:val="2"/>
      <w:numFmt w:val="lowerLetter"/>
      <w:lvlText w:val="%7)"/>
      <w:lvlJc w:val="left"/>
      <w:pPr>
        <w:ind w:left="5040" w:hanging="360"/>
      </w:pPr>
    </w:lvl>
    <w:lvl w:ilvl="7">
      <w:start w:val="2"/>
      <w:numFmt w:val="lowerLetter"/>
      <w:lvlText w:val="%8)"/>
      <w:lvlJc w:val="left"/>
      <w:pPr>
        <w:ind w:left="5760" w:hanging="360"/>
      </w:pPr>
    </w:lvl>
    <w:lvl w:ilvl="8">
      <w:start w:val="2"/>
      <w:numFmt w:val="lowerLetter"/>
      <w:lvlText w:val="%9)"/>
      <w:lvlJc w:val="left"/>
      <w:pPr>
        <w:ind w:left="6480" w:hanging="360"/>
      </w:pPr>
    </w:lvl>
  </w:abstractNum>
  <w:abstractNum w:abstractNumId="99723">
    <w:nsid w:val="00A99723"/>
    <w:multiLevelType w:val="multilevel"/>
    <w:lvl w:ilvl="0">
      <w:start w:val="3"/>
      <w:numFmt w:val="lowerLetter"/>
      <w:lvlText w:val="%1)"/>
      <w:lvlJc w:val="left"/>
      <w:pPr>
        <w:ind w:left="720" w:hanging="360"/>
      </w:pPr>
    </w:lvl>
    <w:lvl w:ilvl="1">
      <w:start w:val="3"/>
      <w:numFmt w:val="lowerLetter"/>
      <w:lvlText w:val="%2)"/>
      <w:lvlJc w:val="left"/>
      <w:pPr>
        <w:ind w:left="1440" w:hanging="360"/>
      </w:pPr>
    </w:lvl>
    <w:lvl w:ilvl="2">
      <w:start w:val="3"/>
      <w:numFmt w:val="lowerLetter"/>
      <w:lvlText w:val="%3)"/>
      <w:lvlJc w:val="left"/>
      <w:pPr>
        <w:ind w:left="2160" w:hanging="360"/>
      </w:pPr>
    </w:lvl>
    <w:lvl w:ilvl="3">
      <w:start w:val="3"/>
      <w:numFmt w:val="lowerLetter"/>
      <w:lvlText w:val="%4)"/>
      <w:lvlJc w:val="left"/>
      <w:pPr>
        <w:ind w:left="2880" w:hanging="360"/>
      </w:pPr>
    </w:lvl>
    <w:lvl w:ilvl="4">
      <w:start w:val="3"/>
      <w:numFmt w:val="lowerLetter"/>
      <w:lvlText w:val="%5)"/>
      <w:lvlJc w:val="left"/>
      <w:pPr>
        <w:ind w:left="3600" w:hanging="360"/>
      </w:pPr>
    </w:lvl>
    <w:lvl w:ilvl="5">
      <w:start w:val="3"/>
      <w:numFmt w:val="lowerLetter"/>
      <w:lvlText w:val="%6)"/>
      <w:lvlJc w:val="left"/>
      <w:pPr>
        <w:ind w:left="4320" w:hanging="360"/>
      </w:pPr>
    </w:lvl>
    <w:lvl w:ilvl="6">
      <w:start w:val="3"/>
      <w:numFmt w:val="lowerLetter"/>
      <w:lvlText w:val="%7)"/>
      <w:lvlJc w:val="left"/>
      <w:pPr>
        <w:ind w:left="5040" w:hanging="360"/>
      </w:pPr>
    </w:lvl>
    <w:lvl w:ilvl="7">
      <w:start w:val="3"/>
      <w:numFmt w:val="lowerLetter"/>
      <w:lvlText w:val="%8)"/>
      <w:lvlJc w:val="left"/>
      <w:pPr>
        <w:ind w:left="5760" w:hanging="360"/>
      </w:pPr>
    </w:lvl>
    <w:lvl w:ilvl="8">
      <w:start w:val="3"/>
      <w:numFmt w:val="lowerLetter"/>
      <w:lvlText w:val="%9)"/>
      <w:lvlJc w:val="left"/>
      <w:pPr>
        <w:ind w:left="6480" w:hanging="360"/>
      </w:pPr>
    </w:lvl>
  </w:abstractNum>
  <w:abstractNum w:abstractNumId="99724">
    <w:nsid w:val="00A99724"/>
    <w:multiLevelType w:val="multilevel"/>
    <w:lvl w:ilvl="0">
      <w:start w:val="4"/>
      <w:numFmt w:val="lowerLetter"/>
      <w:lvlText w:val="%1)"/>
      <w:lvlJc w:val="left"/>
      <w:pPr>
        <w:ind w:left="720" w:hanging="360"/>
      </w:pPr>
    </w:lvl>
    <w:lvl w:ilvl="1">
      <w:start w:val="4"/>
      <w:numFmt w:val="lowerLetter"/>
      <w:lvlText w:val="%2)"/>
      <w:lvlJc w:val="left"/>
      <w:pPr>
        <w:ind w:left="1440" w:hanging="360"/>
      </w:pPr>
    </w:lvl>
    <w:lvl w:ilvl="2">
      <w:start w:val="4"/>
      <w:numFmt w:val="lowerLetter"/>
      <w:lvlText w:val="%3)"/>
      <w:lvlJc w:val="left"/>
      <w:pPr>
        <w:ind w:left="2160" w:hanging="360"/>
      </w:pPr>
    </w:lvl>
    <w:lvl w:ilvl="3">
      <w:start w:val="4"/>
      <w:numFmt w:val="lowerLetter"/>
      <w:lvlText w:val="%4)"/>
      <w:lvlJc w:val="left"/>
      <w:pPr>
        <w:ind w:left="2880" w:hanging="360"/>
      </w:pPr>
    </w:lvl>
    <w:lvl w:ilvl="4">
      <w:start w:val="4"/>
      <w:numFmt w:val="lowerLetter"/>
      <w:lvlText w:val="%5)"/>
      <w:lvlJc w:val="left"/>
      <w:pPr>
        <w:ind w:left="3600" w:hanging="360"/>
      </w:pPr>
    </w:lvl>
    <w:lvl w:ilvl="5">
      <w:start w:val="4"/>
      <w:numFmt w:val="lowerLetter"/>
      <w:lvlText w:val="%6)"/>
      <w:lvlJc w:val="left"/>
      <w:pPr>
        <w:ind w:left="4320" w:hanging="360"/>
      </w:pPr>
    </w:lvl>
    <w:lvl w:ilvl="6">
      <w:start w:val="4"/>
      <w:numFmt w:val="lowerLetter"/>
      <w:lvlText w:val="%7)"/>
      <w:lvlJc w:val="left"/>
      <w:pPr>
        <w:ind w:left="5040" w:hanging="360"/>
      </w:pPr>
    </w:lvl>
    <w:lvl w:ilvl="7">
      <w:start w:val="4"/>
      <w:numFmt w:val="lowerLetter"/>
      <w:lvlText w:val="%8)"/>
      <w:lvlJc w:val="left"/>
      <w:pPr>
        <w:ind w:left="5760" w:hanging="360"/>
      </w:pPr>
    </w:lvl>
    <w:lvl w:ilvl="8">
      <w:start w:val="4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4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5">
    <w:abstractNumId w:val="991"/>
  </w:num>
  <w:num w:numId="1006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8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9">
    <w:abstractNumId w:val="9972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